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EF" w:rsidRPr="00BE170A" w:rsidRDefault="00BE170A" w:rsidP="00815CEF">
      <w:pPr>
        <w:widowControl/>
        <w:autoSpaceDE w:val="0"/>
        <w:spacing w:line="480" w:lineRule="auto"/>
        <w:rPr>
          <w:rFonts w:ascii="黑体" w:eastAsia="黑体" w:hAnsi="黑体" w:cs="宋体"/>
          <w:color w:val="000000"/>
          <w:kern w:val="0"/>
          <w:sz w:val="32"/>
          <w:szCs w:val="32"/>
          <w14:ligatures w14:val="none"/>
        </w:rPr>
      </w:pPr>
      <w:r w:rsidRPr="00BE170A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附件</w:t>
      </w:r>
      <w:r w:rsidR="0042104D">
        <w:rPr>
          <w:rFonts w:ascii="黑体" w:eastAsia="黑体" w:hAnsi="黑体" w:cs="宋体" w:hint="eastAsia"/>
          <w:color w:val="000000"/>
          <w:kern w:val="0"/>
          <w:sz w:val="32"/>
          <w:szCs w:val="32"/>
          <w14:ligatures w14:val="none"/>
        </w:rPr>
        <w:t>1</w:t>
      </w:r>
    </w:p>
    <w:p w:rsidR="00AE7486" w:rsidRDefault="00AE7486" w:rsidP="00996118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14:ligatures w14:val="none"/>
        </w:rPr>
      </w:pPr>
    </w:p>
    <w:p w:rsidR="00A45D86" w:rsidRPr="00996118" w:rsidRDefault="00A45D86" w:rsidP="00996118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14:ligatures w14:val="none"/>
        </w:rPr>
      </w:pPr>
      <w:r w:rsidRPr="00996118">
        <w:rPr>
          <w:rFonts w:ascii="方正小标宋简体" w:eastAsia="方正小标宋简体" w:hAnsi="方正小标宋简体" w:cs="方正小标宋简体" w:hint="eastAsia"/>
          <w:sz w:val="44"/>
          <w:szCs w:val="44"/>
          <w14:ligatures w14:val="none"/>
        </w:rPr>
        <w:t>资产评估机构综合评价办法</w:t>
      </w:r>
    </w:p>
    <w:p w:rsidR="00815CEF" w:rsidRPr="00996118" w:rsidRDefault="00815CEF" w:rsidP="00996118">
      <w:pPr>
        <w:spacing w:line="570" w:lineRule="exact"/>
        <w:jc w:val="center"/>
        <w:rPr>
          <w:rFonts w:ascii="楷体" w:eastAsia="楷体" w:hAnsi="楷体" w:cs="方正小标宋简体"/>
          <w:sz w:val="32"/>
          <w:szCs w:val="32"/>
          <w14:ligatures w14:val="none"/>
        </w:rPr>
      </w:pPr>
      <w:r w:rsidRPr="00996118">
        <w:rPr>
          <w:rFonts w:ascii="楷体" w:eastAsia="楷体" w:hAnsi="楷体" w:cs="方正小标宋简体" w:hint="eastAsia"/>
          <w:sz w:val="32"/>
          <w:szCs w:val="32"/>
          <w14:ligatures w14:val="none"/>
        </w:rPr>
        <w:t>（</w:t>
      </w:r>
      <w:r w:rsidR="007E55B9">
        <w:rPr>
          <w:rFonts w:ascii="楷体" w:eastAsia="楷体" w:hAnsi="楷体" w:cs="方正小标宋简体" w:hint="eastAsia"/>
          <w:sz w:val="32"/>
          <w:szCs w:val="32"/>
          <w14:ligatures w14:val="none"/>
        </w:rPr>
        <w:t>征求意见</w:t>
      </w:r>
      <w:r w:rsidRPr="00996118">
        <w:rPr>
          <w:rFonts w:ascii="楷体" w:eastAsia="楷体" w:hAnsi="楷体" w:cs="方正小标宋简体" w:hint="eastAsia"/>
          <w:sz w:val="32"/>
          <w:szCs w:val="32"/>
          <w14:ligatures w14:val="none"/>
        </w:rPr>
        <w:t>稿）</w:t>
      </w:r>
    </w:p>
    <w:p w:rsidR="00A45D86" w:rsidRPr="00A45D86" w:rsidRDefault="00A45D86" w:rsidP="00A45D86">
      <w:pPr>
        <w:widowControl/>
        <w:autoSpaceDE w:val="0"/>
        <w:spacing w:line="480" w:lineRule="auto"/>
        <w:jc w:val="center"/>
        <w:rPr>
          <w:rFonts w:ascii="华文中宋" w:eastAsia="华文中宋" w:hAnsi="华文中宋" w:cs="宋体"/>
          <w:color w:val="000000"/>
          <w:kern w:val="0"/>
          <w:sz w:val="40"/>
          <w:szCs w:val="40"/>
          <w14:ligatures w14:val="none"/>
        </w:rPr>
      </w:pPr>
    </w:p>
    <w:p w:rsidR="00BE6C7E" w:rsidRPr="00BE6C7E" w:rsidRDefault="00BE6C7E" w:rsidP="00BE6C7E">
      <w:pPr>
        <w:widowControl/>
        <w:autoSpaceDE w:val="0"/>
        <w:spacing w:line="480" w:lineRule="auto"/>
        <w:jc w:val="left"/>
        <w:rPr>
          <w:rFonts w:ascii="仿宋_GB2312" w:eastAsia="仿宋_GB2312" w:hAnsi="宋体" w:cs="宋体"/>
          <w:bCs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 xml:space="preserve">    </w:t>
      </w:r>
      <w:r w:rsidRPr="00BE6C7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14:ligatures w14:val="none"/>
        </w:rPr>
        <w:t>第一条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【制定目的和依据】为客观反映资产评估机构</w:t>
      </w:r>
      <w:r w:rsidR="00D173C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专业胜任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能力、风险防范能力和职业道德水平，推动资产评估行业信用体系建设，提升</w:t>
      </w:r>
      <w:r w:rsidR="00D173C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评估行业影响力，促进资产评估行业</w:t>
      </w:r>
      <w:r w:rsidR="00D173C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高质量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发展，根据《中华人民共和国资产评估法》《中国资产评估协会章程》等有关规定，</w:t>
      </w:r>
      <w:r w:rsidRPr="00BE6C7E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14:ligatures w14:val="none"/>
        </w:rPr>
        <w:t>制定本办法。</w:t>
      </w:r>
    </w:p>
    <w:p w:rsidR="003D0FA3" w:rsidRDefault="00BE6C7E" w:rsidP="00BE6C7E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Calibri" w:cs="Times New Roman" w:hint="eastAsia"/>
          <w:b/>
          <w:bCs/>
          <w:sz w:val="32"/>
          <w:szCs w:val="32"/>
          <w14:ligatures w14:val="none"/>
        </w:rPr>
        <w:t>第二条</w:t>
      </w:r>
      <w:r w:rsidR="002F09CE" w:rsidRPr="00F0684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</w:t>
      </w:r>
      <w:r w:rsidR="002F09CE" w:rsidRPr="00F068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14:ligatures w14:val="none"/>
        </w:rPr>
        <w:t>适用范围</w:t>
      </w:r>
      <w:r w:rsidR="002F09CE" w:rsidRPr="00F0684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】</w:t>
      </w:r>
      <w:r w:rsidR="002F09CE"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本办法适用于加入</w:t>
      </w:r>
      <w:r w:rsidR="002F09CE" w:rsidRPr="00764906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中国资产评估协会（以下简称中评协）</w:t>
      </w:r>
      <w:r w:rsidR="002F09CE"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接受自律管理的资产评估机构。</w:t>
      </w:r>
    </w:p>
    <w:p w:rsidR="00A45D86" w:rsidRDefault="002F09CE" w:rsidP="003D0FA3">
      <w:pPr>
        <w:ind w:firstLineChars="200" w:firstLine="640"/>
        <w:rPr>
          <w:rFonts w:ascii="仿宋_GB2312" w:eastAsia="仿宋_GB2312" w:hAnsi="Calibri" w:cs="Times New Roman"/>
          <w:bCs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本办法所称资产评估师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，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加入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中评协并在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执业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的资产评估师。</w:t>
      </w:r>
    </w:p>
    <w:p w:rsidR="00996118" w:rsidRDefault="00A45D86" w:rsidP="00996118">
      <w:pPr>
        <w:ind w:firstLineChars="200" w:firstLine="643"/>
        <w:rPr>
          <w:rFonts w:ascii="仿宋_GB2312" w:eastAsia="仿宋_GB2312" w:hAnsi="Calibri" w:cs="Times New Roman"/>
          <w:bCs/>
          <w:sz w:val="32"/>
          <w:szCs w:val="32"/>
          <w14:ligatures w14:val="none"/>
        </w:rPr>
      </w:pPr>
      <w:r w:rsidRPr="00A45D86">
        <w:rPr>
          <w:rFonts w:ascii="仿宋_GB2312" w:eastAsia="仿宋_GB2312" w:hAnsi="Calibri" w:cs="Times New Roman" w:hint="eastAsia"/>
          <w:b/>
          <w:sz w:val="32"/>
          <w:szCs w:val="32"/>
          <w14:ligatures w14:val="none"/>
        </w:rPr>
        <w:t>第三条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【基本定义】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本办法所称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资产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评估机构综合评价</w:t>
      </w:r>
      <w:r w:rsidR="00E25E02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是指：</w:t>
      </w:r>
      <w:r w:rsidR="003D0FA3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一是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根据一定的规则，对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资产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评估机构</w:t>
      </w:r>
      <w:r w:rsidR="002F09CE" w:rsidRP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专业胜任能力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、</w:t>
      </w:r>
      <w:r w:rsidR="002F09CE" w:rsidRPr="00D173C0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风险防范能力和职业道德水平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等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相关指标进行评分，根据得分情况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将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资产评估机构</w:t>
      </w:r>
      <w:r w:rsidR="00696570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评定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为五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个等</w:t>
      </w:r>
      <w:r w:rsidR="002F09CE" w:rsidRPr="00BE6C7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级，即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：</w:t>
      </w:r>
      <w:r w:rsidR="002F09CE" w:rsidRPr="00BE6C7E">
        <w:rPr>
          <w:rFonts w:ascii="仿宋_GB2312" w:eastAsia="仿宋_GB2312" w:hAnsi="Calibri" w:cs="Times New Roman"/>
          <w:bCs/>
          <w:sz w:val="32"/>
          <w:szCs w:val="32"/>
          <w14:ligatures w14:val="none"/>
        </w:rPr>
        <w:t>AAAAA级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，</w:t>
      </w:r>
      <w:r w:rsidR="002F09CE" w:rsidRPr="00BE6C7E">
        <w:rPr>
          <w:rFonts w:ascii="仿宋_GB2312" w:eastAsia="仿宋_GB2312" w:hAnsi="Calibri" w:cs="Times New Roman"/>
          <w:bCs/>
          <w:sz w:val="32"/>
          <w:szCs w:val="32"/>
          <w14:ligatures w14:val="none"/>
        </w:rPr>
        <w:t>AAAA级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，</w:t>
      </w:r>
      <w:r w:rsidR="002F09CE" w:rsidRPr="00BE6C7E">
        <w:rPr>
          <w:rFonts w:ascii="仿宋_GB2312" w:eastAsia="仿宋_GB2312" w:hAnsi="Calibri" w:cs="Times New Roman"/>
          <w:bCs/>
          <w:sz w:val="32"/>
          <w:szCs w:val="32"/>
          <w14:ligatures w14:val="none"/>
        </w:rPr>
        <w:t>AAA级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，</w:t>
      </w:r>
      <w:r w:rsidR="002F09CE" w:rsidRPr="00BE6C7E">
        <w:rPr>
          <w:rFonts w:ascii="仿宋_GB2312" w:eastAsia="仿宋_GB2312" w:hAnsi="Calibri" w:cs="Times New Roman"/>
          <w:bCs/>
          <w:sz w:val="32"/>
          <w:szCs w:val="32"/>
          <w14:ligatures w14:val="none"/>
        </w:rPr>
        <w:t>AA级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，</w:t>
      </w:r>
      <w:r w:rsidR="002F09CE" w:rsidRPr="00BE6C7E">
        <w:rPr>
          <w:rFonts w:ascii="仿宋_GB2312" w:eastAsia="仿宋_GB2312" w:hAnsi="Calibri" w:cs="Times New Roman"/>
          <w:bCs/>
          <w:sz w:val="32"/>
          <w:szCs w:val="32"/>
          <w14:ligatures w14:val="none"/>
        </w:rPr>
        <w:t>A级，</w:t>
      </w:r>
      <w:r w:rsidR="002F09CE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其中</w:t>
      </w:r>
      <w:r w:rsidR="002F09CE" w:rsidRPr="00BE6C7E">
        <w:rPr>
          <w:rFonts w:ascii="仿宋_GB2312" w:eastAsia="仿宋_GB2312" w:hAnsi="Calibri" w:cs="Times New Roman"/>
          <w:bCs/>
          <w:sz w:val="32"/>
          <w:szCs w:val="32"/>
          <w14:ligatures w14:val="none"/>
        </w:rPr>
        <w:t>AAAAA级为最高级</w:t>
      </w:r>
      <w:r w:rsidR="003D0FA3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；二是</w:t>
      </w:r>
      <w:r w:rsidR="00E25E02">
        <w:rPr>
          <w:rFonts w:ascii="仿宋_GB2312" w:eastAsia="仿宋_GB2312" w:hAnsi="Calibri" w:cs="Times New Roman" w:hint="eastAsia"/>
          <w:bCs/>
          <w:sz w:val="32"/>
          <w:szCs w:val="32"/>
          <w14:ligatures w14:val="none"/>
        </w:rPr>
        <w:t>对资产评估机构收入情况进行排序，并公布前百家资产评估机构名单。</w:t>
      </w:r>
    </w:p>
    <w:p w:rsidR="0049774D" w:rsidRPr="00996118" w:rsidRDefault="00BE6C7E" w:rsidP="00996118">
      <w:pPr>
        <w:ind w:firstLineChars="200" w:firstLine="643"/>
        <w:rPr>
          <w:rFonts w:ascii="仿宋_GB2312" w:eastAsia="仿宋_GB2312" w:hAnsi="Calibri" w:cs="Times New Roman"/>
          <w:bCs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</w:t>
      </w:r>
      <w:r w:rsidR="0076490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四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49774D" w:rsidRPr="00F068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14:ligatures w14:val="none"/>
        </w:rPr>
        <w:t>【工作机制】</w:t>
      </w:r>
      <w:r w:rsidR="0049774D"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资产评估机构</w:t>
      </w:r>
      <w:r w:rsidR="0049774D">
        <w:rPr>
          <w:rFonts w:ascii="仿宋_GB2312" w:eastAsia="仿宋_GB2312" w:hAnsi="仿宋_GB2312" w:cs="仿宋_GB2312" w:hint="eastAsia"/>
          <w:bCs/>
          <w:sz w:val="32"/>
          <w:szCs w:val="32"/>
        </w:rPr>
        <w:t>综合评价</w:t>
      </w:r>
      <w:r w:rsidR="0049774D"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工作由中评</w:t>
      </w:r>
      <w:r w:rsidR="0049774D"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协和各省、自治区、直辖市、计划单列市资产评估协会（以下简称地方协会）组织开展。</w:t>
      </w:r>
    </w:p>
    <w:p w:rsidR="0049774D" w:rsidRPr="00BE6C7E" w:rsidRDefault="0049774D" w:rsidP="0049774D">
      <w:pPr>
        <w:widowControl/>
        <w:autoSpaceDE w:val="0"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中评协负责制定</w:t>
      </w:r>
      <w:r w:rsidRP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评估机构综合评价规则，组织实施全国</w:t>
      </w:r>
      <w:r w:rsidRP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评估机构综合评价工作。地方协会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负责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开展本地区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评估机构综合评价工作。</w:t>
      </w:r>
    </w:p>
    <w:p w:rsidR="00BE6C7E" w:rsidRPr="00BE6C7E" w:rsidRDefault="00BE6C7E" w:rsidP="00F06843">
      <w:pPr>
        <w:widowControl/>
        <w:autoSpaceDE w:val="0"/>
        <w:spacing w:line="480" w:lineRule="auto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</w:t>
      </w:r>
      <w:r w:rsidR="0076490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五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Pr="00F068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14:ligatures w14:val="none"/>
        </w:rPr>
        <w:t>【基本原则】</w:t>
      </w:r>
      <w:r w:rsidR="00764906" w:rsidRP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评估机构综合评价遵循公开、公平、公正原则。</w:t>
      </w:r>
    </w:p>
    <w:p w:rsidR="00A96CE7" w:rsidRPr="00A96CE7" w:rsidRDefault="00BE6C7E" w:rsidP="00764906">
      <w:pPr>
        <w:widowControl/>
        <w:autoSpaceDE w:val="0"/>
        <w:spacing w:line="480" w:lineRule="auto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六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A96CE7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【评定标准】中评协负责制定《资产评估机构等级评定标准》。根据资产评估机构专业胜任能力确定基础分</w:t>
      </w:r>
      <w:r w:rsidR="0069657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，</w:t>
      </w:r>
      <w:r w:rsidR="00A96CE7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合并考虑其党建工作、人才队伍建设、执业</w:t>
      </w:r>
      <w:r w:rsidR="001C511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经验</w:t>
      </w:r>
      <w:r w:rsidR="00A96CE7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、风险防范能力、信息化建设、社会责任等加分项目得分，与不良行为信息、提示信息等减分项目扣分</w:t>
      </w:r>
      <w:r w:rsidR="0069657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，确定综合得分</w:t>
      </w:r>
      <w:r w:rsid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。</w:t>
      </w:r>
    </w:p>
    <w:p w:rsidR="00911E46" w:rsidRPr="00BE6C7E" w:rsidRDefault="00911E46" w:rsidP="00911E46">
      <w:pPr>
        <w:widowControl/>
        <w:autoSpaceDE w:val="0"/>
        <w:spacing w:line="480" w:lineRule="auto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七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【参评范围】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设立且完成财政备案满1个会计年度的</w:t>
      </w:r>
      <w:r w:rsidRP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，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应当参加综合评价。其中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: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采取总分公司经营模式的</w:t>
      </w:r>
      <w:r w:rsidRP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评估机构，分支机构各项指标合并入所属总公司；采取母子公司经营模式的</w:t>
      </w:r>
      <w:r w:rsidRP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评估机构，子公司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以独立法人身份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单独参加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综合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评价，子公司各项指标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不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合并入所属母</w:t>
      </w:r>
      <w:r w:rsidR="002C090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公司；</w:t>
      </w:r>
      <w:r w:rsidR="002C0903" w:rsidRPr="002C090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收入以单一法人（合伙）营业收入为准，总分公司不重复计算。</w:t>
      </w:r>
    </w:p>
    <w:p w:rsidR="00911E46" w:rsidRPr="00911E46" w:rsidRDefault="00911E46" w:rsidP="00F06843">
      <w:pPr>
        <w:widowControl/>
        <w:autoSpaceDE w:val="0"/>
        <w:spacing w:line="480" w:lineRule="auto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45D8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八</w:t>
      </w:r>
      <w:r w:rsidRPr="00A45D86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【数据来源】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综合评价各项指标主要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依据资产评估机构在资产评估行业管理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统一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平台（以下简称统一信息平台）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填报的信息和专项申报信息。</w:t>
      </w:r>
    </w:p>
    <w:p w:rsidR="00BE6C7E" w:rsidRPr="00BE6C7E" w:rsidRDefault="00BE6C7E" w:rsidP="00BE6C7E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lastRenderedPageBreak/>
        <w:t>第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九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8507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【工作程序</w:t>
      </w:r>
      <w:r w:rsidR="0085070E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】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综合评价按下列程序进行：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（一）中评协通过</w:t>
      </w:r>
      <w:r w:rsidR="0069657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统一信息平台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提取资产评估机构相关数据信息，根据等级评定主要指标初步评定各机构等级；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（二）中评协将等级评定初步结果</w:t>
      </w:r>
      <w:r w:rsidR="00696570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送达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各地方协会和资产评估机构进行信息核对；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（三）资产评估机构核对有关信息，对照等级评定指标自我评分后上报地方协会；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（四）地方协会审核，提出等级评定建议后上报中评协；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（五）中评协</w:t>
      </w:r>
      <w:r w:rsid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审定，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公示资产评估机构</w:t>
      </w:r>
      <w:r w:rsid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等级评定结果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和收入前百家资产评估机构名单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，公示期为</w:t>
      </w:r>
      <w:r w:rsidRPr="00A96CE7"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  <w:t>10个工作日；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（六）公示期间存在异议的，中评协和地方协会组织调查核实</w:t>
      </w:r>
      <w:r w:rsid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，根据实际情况，作出适当调整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；</w:t>
      </w:r>
    </w:p>
    <w:p w:rsidR="00A96CE7" w:rsidRPr="00A96CE7" w:rsidRDefault="00A96CE7" w:rsidP="00A96CE7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（七）中评协在网站</w:t>
      </w:r>
      <w:r w:rsid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正式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公告</w:t>
      </w:r>
      <w:r w:rsid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资产评估机构</w:t>
      </w:r>
      <w:r w:rsidR="00192595" w:rsidRP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等级评定结果和收入前百家资产评估机构名单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。</w:t>
      </w:r>
    </w:p>
    <w:p w:rsidR="00A45D86" w:rsidRPr="00A96CE7" w:rsidRDefault="00A45D86" w:rsidP="00A45D86">
      <w:pPr>
        <w:widowControl/>
        <w:autoSpaceDE w:val="0"/>
        <w:spacing w:line="480" w:lineRule="auto"/>
        <w:ind w:firstLineChars="200" w:firstLine="643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十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764906" w:rsidRPr="00F068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14:ligatures w14:val="none"/>
        </w:rPr>
        <w:t>【评价周期】</w:t>
      </w:r>
      <w:r w:rsid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资产评估机构等级每</w:t>
      </w:r>
      <w:r w:rsidR="004E3CF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3</w:t>
      </w:r>
      <w:r w:rsid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年重新评定，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收入前百家</w:t>
      </w:r>
      <w:r w:rsidR="00192595" w:rsidRPr="001925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资产评估机构名单</w:t>
      </w:r>
      <w:r w:rsidR="0049774D" w:rsidRPr="0049774D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每年公布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。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在此期间：</w:t>
      </w:r>
    </w:p>
    <w:p w:rsidR="00A45D86" w:rsidRPr="00A96CE7" w:rsidRDefault="00A45D86" w:rsidP="00BE170A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（一）新备案的资产评估机构，参加</w:t>
      </w:r>
      <w:r w:rsidR="00181B95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下一轮次等级评定</w:t>
      </w:r>
      <w:r w:rsid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和下一年度</w:t>
      </w:r>
      <w:r w:rsidR="00181B95" w:rsidRP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资产评估机构收入情况排序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；</w:t>
      </w:r>
    </w:p>
    <w:p w:rsidR="00BE170A" w:rsidRDefault="00A45D86" w:rsidP="00BE170A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（二）因执业行为受到刑事处罚的资产评估机构，直接降一等级，</w:t>
      </w:r>
      <w:r w:rsidR="004E3CF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3</w:t>
      </w:r>
      <w:r w:rsidRPr="00A96CE7"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  <w:t>年内不得恢复原等级；</w:t>
      </w:r>
    </w:p>
    <w:p w:rsidR="00A45D86" w:rsidRPr="00A96CE7" w:rsidRDefault="00A45D86" w:rsidP="00BE170A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（三）暂停会员资格的资产评估机构，</w:t>
      </w:r>
      <w:r w:rsid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综合评价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名单同步取消。恢复会员资格后，</w:t>
      </w:r>
      <w:r w:rsidR="00181B95" w:rsidRP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参加下一轮次等级评定和下一年</w:t>
      </w:r>
      <w:r w:rsidR="00181B95" w:rsidRP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lastRenderedPageBreak/>
        <w:t>度资产评估机构收入情况排序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；</w:t>
      </w:r>
    </w:p>
    <w:p w:rsidR="00A45D86" w:rsidRPr="00BE6C7E" w:rsidRDefault="00A45D86" w:rsidP="00A45D86">
      <w:pPr>
        <w:widowControl/>
        <w:autoSpaceDE w:val="0"/>
        <w:spacing w:line="480" w:lineRule="auto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（四）自动丧失会员资格、被中评协除名的资产评估机构，</w:t>
      </w:r>
      <w:r w:rsidR="00181B95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综合评价</w:t>
      </w:r>
      <w:r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名单同步取消。</w:t>
      </w:r>
    </w:p>
    <w:p w:rsidR="00A45D86" w:rsidRPr="00F06843" w:rsidRDefault="00A45D86" w:rsidP="00F06843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6D0F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="00F0684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r w:rsidRPr="006D0F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="0049774D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【等级证书】资产评估机构等级证书采用电子证书形式。证书由中评协统一设计制作，有效期为</w:t>
      </w:r>
      <w:r w:rsidR="004E3CF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3</w:t>
      </w:r>
      <w:r w:rsidR="0049774D" w:rsidRPr="00A96CE7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年。</w:t>
      </w:r>
    </w:p>
    <w:p w:rsidR="00A45D86" w:rsidRPr="008D4907" w:rsidRDefault="00A45D86" w:rsidP="00A45D86">
      <w:pPr>
        <w:spacing w:line="57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6D0F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="00F0684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 w:rsidRPr="006D0F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【资产评估机构责任】资产评估机构在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综合评价</w:t>
      </w:r>
      <w:r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过程中被发现数据不实的，中评协和地方协会予以责令改正并出具关注函</w:t>
      </w:r>
      <w:r w:rsidR="0049774D">
        <w:rPr>
          <w:rFonts w:ascii="仿宋_GB2312" w:eastAsia="仿宋_GB2312" w:hAnsi="仿宋_GB2312" w:cs="仿宋_GB2312" w:hint="eastAsia"/>
          <w:bCs/>
          <w:sz w:val="32"/>
          <w:szCs w:val="32"/>
        </w:rPr>
        <w:t>。</w:t>
      </w:r>
      <w:r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情节严重的，予以责令改正并警告。</w:t>
      </w:r>
    </w:p>
    <w:p w:rsidR="00BE6C7E" w:rsidRPr="00BE6C7E" w:rsidRDefault="00BE6C7E" w:rsidP="00BE6C7E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第十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三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【地方协会责任】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各地方协会应对参评</w:t>
      </w:r>
      <w:r w:rsid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评估机构上报材料进行认真核实和汇总，做到客观公正。地方协会不能按时上报</w:t>
      </w:r>
      <w:r w:rsid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评估机构参评信息等情况，应向中评协提交书面说明。</w:t>
      </w:r>
    </w:p>
    <w:p w:rsidR="00A45D86" w:rsidRPr="008D4907" w:rsidRDefault="00A45D86" w:rsidP="00A45D86">
      <w:pPr>
        <w:spacing w:line="570" w:lineRule="exact"/>
        <w:ind w:firstLineChars="200" w:firstLine="643"/>
        <w:rPr>
          <w:rFonts w:ascii="仿宋_GB2312" w:eastAsia="仿宋_GB2312" w:hAnsi="仿宋_GB2312" w:cs="仿宋_GB2312"/>
          <w:bCs/>
          <w:sz w:val="32"/>
          <w:szCs w:val="32"/>
        </w:rPr>
      </w:pPr>
      <w:r w:rsidRPr="006D0F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第十</w:t>
      </w:r>
      <w:r w:rsidR="00F06843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四</w:t>
      </w:r>
      <w:r w:rsidRPr="006D0F3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条</w:t>
      </w:r>
      <w:r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【</w:t>
      </w:r>
      <w:r w:rsidR="00764906">
        <w:rPr>
          <w:rFonts w:ascii="仿宋_GB2312" w:eastAsia="仿宋_GB2312" w:hAnsi="仿宋_GB2312" w:cs="仿宋_GB2312" w:hint="eastAsia"/>
          <w:bCs/>
          <w:sz w:val="32"/>
          <w:szCs w:val="32"/>
        </w:rPr>
        <w:t>工作人员</w:t>
      </w:r>
      <w:r w:rsidR="00AC6EE5">
        <w:rPr>
          <w:rFonts w:ascii="仿宋_GB2312" w:eastAsia="仿宋_GB2312" w:hAnsi="仿宋_GB2312" w:cs="仿宋_GB2312" w:hint="eastAsia"/>
          <w:bCs/>
          <w:sz w:val="32"/>
          <w:szCs w:val="32"/>
        </w:rPr>
        <w:t>责任</w:t>
      </w:r>
      <w:r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】中评协和地方协会负责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综合评价</w:t>
      </w:r>
      <w:r w:rsidRPr="008D4907">
        <w:rPr>
          <w:rFonts w:ascii="仿宋_GB2312" w:eastAsia="仿宋_GB2312" w:hAnsi="仿宋_GB2312" w:cs="仿宋_GB2312" w:hint="eastAsia"/>
          <w:bCs/>
          <w:sz w:val="32"/>
          <w:szCs w:val="32"/>
        </w:rPr>
        <w:t>的工作人员滥用职权、玩忽职守、徇私舞弊的，按照国家有关规定追究相应责任。</w:t>
      </w:r>
    </w:p>
    <w:p w:rsidR="00BE6C7E" w:rsidRPr="00BE6C7E" w:rsidRDefault="00BE6C7E" w:rsidP="00BE6C7E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第十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五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【地方相关工作】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中评协授权地方协会参照本办法，对本地区</w:t>
      </w:r>
      <w:r w:rsidR="00764906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资产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评估机构进行综合评价，同时报中评协备案。</w:t>
      </w:r>
    </w:p>
    <w:p w:rsidR="007D3D1F" w:rsidRDefault="00BE6C7E" w:rsidP="007D3D1F">
      <w:pPr>
        <w:ind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</w:pP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第十</w:t>
      </w:r>
      <w:r w:rsidR="00F06843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六</w:t>
      </w:r>
      <w:r w:rsidRPr="00BE6C7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条</w:t>
      </w:r>
      <w:r w:rsidR="008507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【实施时间】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 xml:space="preserve"> 本办法自发布之日起实施，20</w:t>
      </w:r>
      <w:r w:rsidR="0049774D"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  <w:t>16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年</w:t>
      </w:r>
      <w:r w:rsidR="00F0684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2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月</w:t>
      </w:r>
      <w:r w:rsidR="00F0684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4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日印发的《资产评估机构综合评价办法》（中评协〔20</w:t>
      </w:r>
      <w:r w:rsidR="00F0684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16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〕</w:t>
      </w:r>
      <w:r w:rsidR="00F06843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7</w:t>
      </w:r>
      <w:r w:rsidRPr="00BE6C7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  <w:t>号）同时废止。</w:t>
      </w:r>
    </w:p>
    <w:p w:rsidR="007D3D1F" w:rsidRDefault="007D3D1F" w:rsidP="007D3D1F">
      <w:pPr>
        <w:ind w:firstLine="643"/>
        <w:rPr>
          <w:rFonts w:ascii="仿宋_GB2312" w:eastAsia="仿宋_GB2312" w:hAnsi="宋体" w:cs="宋体" w:hint="eastAsia"/>
          <w:color w:val="000000"/>
          <w:kern w:val="0"/>
          <w:sz w:val="32"/>
          <w:szCs w:val="32"/>
          <w14:ligatures w14:val="none"/>
        </w:rPr>
      </w:pPr>
    </w:p>
    <w:p w:rsidR="00103A1B" w:rsidRPr="007D3D1F" w:rsidRDefault="007D3D1F" w:rsidP="007D3D1F">
      <w:pPr>
        <w:ind w:firstLine="643"/>
        <w:rPr>
          <w:rFonts w:ascii="仿宋_GB2312" w:eastAsia="仿宋_GB2312" w:hAnsi="宋体" w:cs="宋体"/>
          <w:color w:val="000000"/>
          <w:kern w:val="0"/>
          <w:sz w:val="32"/>
          <w:szCs w:val="32"/>
          <w14:ligatures w14:val="none"/>
        </w:rPr>
      </w:pPr>
      <w:r w:rsidRPr="007D3D1F">
        <w:rPr>
          <w:rFonts w:ascii="仿宋_GB2312" w:eastAsia="仿宋_GB2312" w:hint="eastAsia"/>
          <w:sz w:val="32"/>
          <w:szCs w:val="32"/>
        </w:rPr>
        <w:t>附：</w:t>
      </w:r>
      <w:r w:rsidRPr="007D3D1F">
        <w:rPr>
          <w:rFonts w:ascii="仿宋_GB2312" w:eastAsia="仿宋_GB2312" w:hAnsi="宋体" w:cs="Times New Roman" w:hint="eastAsia"/>
          <w:bCs/>
          <w:sz w:val="32"/>
          <w:szCs w:val="32"/>
          <w14:ligatures w14:val="none"/>
        </w:rPr>
        <w:t>资产评估机构等级评定标准</w:t>
      </w:r>
    </w:p>
    <w:p w:rsidR="00103A1B" w:rsidRPr="006500F1" w:rsidRDefault="00103A1B" w:rsidP="00103A1B">
      <w:pPr>
        <w:spacing w:beforeLines="50" w:before="156" w:afterLines="50" w:after="156"/>
        <w:rPr>
          <w:rFonts w:ascii="黑体" w:eastAsia="黑体" w:hAnsi="黑体" w:cs="仿宋_GB2312"/>
          <w:noProof/>
          <w:color w:val="333333"/>
          <w:sz w:val="32"/>
          <w:szCs w:val="32"/>
          <w14:ligatures w14:val="none"/>
        </w:rPr>
      </w:pPr>
      <w:r w:rsidRPr="006500F1">
        <w:rPr>
          <w:rFonts w:ascii="黑体" w:eastAsia="黑体" w:hAnsi="黑体" w:cs="仿宋_GB2312" w:hint="eastAsia"/>
          <w:noProof/>
          <w:color w:val="333333"/>
          <w:sz w:val="32"/>
          <w:szCs w:val="32"/>
          <w14:ligatures w14:val="none"/>
        </w:rPr>
        <w:lastRenderedPageBreak/>
        <w:t>附</w:t>
      </w:r>
    </w:p>
    <w:p w:rsidR="00103A1B" w:rsidRPr="007D3D1F" w:rsidRDefault="00103A1B" w:rsidP="00103A1B">
      <w:pPr>
        <w:jc w:val="center"/>
        <w:outlineLvl w:val="3"/>
        <w:rPr>
          <w:rFonts w:ascii="方正小标宋简体" w:eastAsia="方正小标宋简体" w:hAnsi="宋体" w:cs="Times New Roman" w:hint="eastAsia"/>
          <w:bCs/>
          <w:sz w:val="44"/>
          <w:szCs w:val="44"/>
          <w14:ligatures w14:val="none"/>
        </w:rPr>
      </w:pPr>
      <w:r w:rsidRPr="007D3D1F">
        <w:rPr>
          <w:rFonts w:ascii="方正小标宋简体" w:eastAsia="方正小标宋简体" w:hAnsi="宋体" w:cs="Times New Roman" w:hint="eastAsia"/>
          <w:bCs/>
          <w:sz w:val="44"/>
          <w:szCs w:val="44"/>
          <w14:ligatures w14:val="none"/>
        </w:rPr>
        <w:t>资产评估机构等级评定标准</w:t>
      </w:r>
    </w:p>
    <w:p w:rsidR="007D3D1F" w:rsidRPr="007D3D1F" w:rsidRDefault="00103A1B" w:rsidP="007D3D1F">
      <w:pPr>
        <w:jc w:val="center"/>
        <w:outlineLvl w:val="3"/>
        <w:rPr>
          <w:rFonts w:ascii="楷体" w:eastAsia="楷体" w:hAnsi="楷体" w:cs="Times New Roman"/>
          <w:sz w:val="32"/>
          <w:szCs w:val="32"/>
          <w14:ligatures w14:val="none"/>
        </w:rPr>
      </w:pPr>
      <w:r w:rsidRPr="007D3D1F">
        <w:rPr>
          <w:rFonts w:ascii="楷体" w:eastAsia="楷体" w:hAnsi="楷体" w:cs="Times New Roman" w:hint="eastAsia"/>
          <w:sz w:val="32"/>
          <w:szCs w:val="32"/>
          <w14:ligatures w14:val="none"/>
        </w:rPr>
        <w:t>（注：各项指标含分公司不含子公司）</w:t>
      </w:r>
    </w:p>
    <w:tbl>
      <w:tblPr>
        <w:tblpPr w:leftFromText="180" w:rightFromText="180" w:vertAnchor="text" w:tblpXSpec="center" w:tblpY="14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993"/>
        <w:gridCol w:w="992"/>
        <w:gridCol w:w="1701"/>
      </w:tblGrid>
      <w:tr w:rsidR="007D3D1F" w:rsidRPr="00103A1B" w:rsidTr="009C5E79">
        <w:trPr>
          <w:trHeight w:val="534"/>
        </w:trPr>
        <w:tc>
          <w:tcPr>
            <w:tcW w:w="3227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分级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AAAAA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AAAA</w:t>
            </w:r>
          </w:p>
        </w:tc>
        <w:tc>
          <w:tcPr>
            <w:tcW w:w="993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AAA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AA</w:t>
            </w:r>
          </w:p>
        </w:tc>
        <w:tc>
          <w:tcPr>
            <w:tcW w:w="1701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A</w:t>
            </w:r>
          </w:p>
        </w:tc>
      </w:tr>
      <w:tr w:rsidR="007D3D1F" w:rsidRPr="00103A1B" w:rsidTr="009F454A">
        <w:trPr>
          <w:trHeight w:val="534"/>
        </w:trPr>
        <w:tc>
          <w:tcPr>
            <w:tcW w:w="3227" w:type="dxa"/>
            <w:vAlign w:val="center"/>
          </w:tcPr>
          <w:p w:rsidR="007D3D1F" w:rsidRPr="007D3D1F" w:rsidRDefault="007D3D1F" w:rsidP="009F454A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综合得分分数线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F454A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650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F454A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550</w:t>
            </w:r>
          </w:p>
        </w:tc>
        <w:tc>
          <w:tcPr>
            <w:tcW w:w="993" w:type="dxa"/>
            <w:vAlign w:val="center"/>
          </w:tcPr>
          <w:p w:rsidR="007D3D1F" w:rsidRPr="007D3D1F" w:rsidRDefault="007D3D1F" w:rsidP="009F454A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450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F454A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701" w:type="dxa"/>
            <w:vAlign w:val="center"/>
          </w:tcPr>
          <w:p w:rsidR="007D3D1F" w:rsidRPr="007D3D1F" w:rsidRDefault="007D3D1F" w:rsidP="009F454A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250</w:t>
            </w:r>
          </w:p>
        </w:tc>
      </w:tr>
    </w:tbl>
    <w:p w:rsidR="007D3D1F" w:rsidRDefault="007D3D1F" w:rsidP="007D3D1F">
      <w:pPr>
        <w:outlineLvl w:val="3"/>
        <w:rPr>
          <w:rFonts w:ascii="仿宋_GB2312" w:hAnsi="宋体" w:cs="Times New Roman"/>
          <w:b/>
          <w:sz w:val="28"/>
          <w:szCs w:val="28"/>
        </w:rPr>
      </w:pPr>
      <w:bookmarkStart w:id="0" w:name="_GoBack"/>
      <w:bookmarkEnd w:id="0"/>
    </w:p>
    <w:p w:rsidR="007D3D1F" w:rsidRPr="007D3D1F" w:rsidRDefault="007D3D1F" w:rsidP="007D3D1F">
      <w:pPr>
        <w:jc w:val="center"/>
        <w:outlineLvl w:val="3"/>
        <w:rPr>
          <w:rFonts w:ascii="仿宋_GB2312" w:eastAsia="仿宋_GB2312" w:hAnsi="宋体" w:cs="Times New Roman" w:hint="eastAsia"/>
          <w:sz w:val="32"/>
          <w:szCs w:val="32"/>
        </w:rPr>
      </w:pPr>
      <w:r w:rsidRPr="007D3D1F">
        <w:rPr>
          <w:rFonts w:ascii="仿宋_GB2312" w:eastAsia="仿宋_GB2312" w:hAnsi="宋体" w:cs="Times New Roman" w:hint="eastAsia"/>
          <w:sz w:val="32"/>
          <w:szCs w:val="32"/>
        </w:rPr>
        <w:t>计算原则：综合得分=基础分+加分项得分-减分项得分</w:t>
      </w:r>
    </w:p>
    <w:p w:rsidR="007D3D1F" w:rsidRPr="00103A1B" w:rsidRDefault="007D3D1F" w:rsidP="007D3D1F">
      <w:pPr>
        <w:jc w:val="center"/>
        <w:outlineLvl w:val="3"/>
        <w:rPr>
          <w:rFonts w:ascii="仿宋_GB2312" w:hAnsi="宋体" w:cs="Times New Roman"/>
          <w:b/>
          <w:szCs w:val="32"/>
        </w:rPr>
      </w:pPr>
    </w:p>
    <w:p w:rsidR="007D3D1F" w:rsidRPr="007D3D1F" w:rsidRDefault="007D3D1F" w:rsidP="007D3D1F">
      <w:pPr>
        <w:outlineLvl w:val="3"/>
        <w:rPr>
          <w:rFonts w:ascii="黑体" w:eastAsia="黑体" w:hAnsi="黑体" w:cs="Times New Roman"/>
          <w:sz w:val="32"/>
          <w:szCs w:val="32"/>
        </w:rPr>
      </w:pPr>
      <w:r w:rsidRPr="007D3D1F">
        <w:rPr>
          <w:rFonts w:ascii="黑体" w:eastAsia="黑体" w:hAnsi="黑体" w:cs="Times New Roman" w:hint="eastAsia"/>
          <w:sz w:val="32"/>
          <w:szCs w:val="32"/>
        </w:rPr>
        <w:t>一、专业胜任能力</w:t>
      </w:r>
    </w:p>
    <w:tbl>
      <w:tblPr>
        <w:tblpPr w:leftFromText="180" w:rightFromText="180" w:vertAnchor="text" w:tblpXSpec="center" w:tblpY="14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992"/>
        <w:gridCol w:w="992"/>
        <w:gridCol w:w="993"/>
        <w:gridCol w:w="992"/>
        <w:gridCol w:w="1701"/>
      </w:tblGrid>
      <w:tr w:rsidR="007D3D1F" w:rsidRPr="00103A1B" w:rsidTr="009C5E79">
        <w:trPr>
          <w:trHeight w:val="534"/>
        </w:trPr>
        <w:tc>
          <w:tcPr>
            <w:tcW w:w="1101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</w:t>
            </w:r>
          </w:p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126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考评内容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5A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4A</w:t>
            </w:r>
          </w:p>
        </w:tc>
        <w:tc>
          <w:tcPr>
            <w:tcW w:w="993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2A</w:t>
            </w:r>
          </w:p>
        </w:tc>
        <w:tc>
          <w:tcPr>
            <w:tcW w:w="1701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A</w:t>
            </w:r>
          </w:p>
        </w:tc>
      </w:tr>
      <w:tr w:rsidR="007D3D1F" w:rsidRPr="00103A1B" w:rsidTr="009C5E79">
        <w:trPr>
          <w:cantSplit/>
          <w:trHeight w:val="737"/>
        </w:trPr>
        <w:tc>
          <w:tcPr>
            <w:tcW w:w="1101" w:type="dxa"/>
            <w:vMerge w:val="restart"/>
            <w:vAlign w:val="center"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专业胜</w:t>
            </w:r>
          </w:p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任能力</w:t>
            </w:r>
          </w:p>
        </w:tc>
        <w:tc>
          <w:tcPr>
            <w:tcW w:w="2126" w:type="dxa"/>
            <w:vAlign w:val="center"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资产评估师人数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≥40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≥20</w:t>
            </w:r>
          </w:p>
        </w:tc>
        <w:tc>
          <w:tcPr>
            <w:tcW w:w="993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≥10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≥5</w:t>
            </w:r>
          </w:p>
        </w:tc>
        <w:tc>
          <w:tcPr>
            <w:tcW w:w="1701" w:type="dxa"/>
            <w:vMerge w:val="restart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＜5人</w:t>
            </w:r>
          </w:p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或者</w:t>
            </w:r>
          </w:p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＜100万元</w:t>
            </w:r>
          </w:p>
        </w:tc>
      </w:tr>
      <w:tr w:rsidR="007D3D1F" w:rsidRPr="00103A1B" w:rsidTr="009C5E79">
        <w:trPr>
          <w:cantSplit/>
          <w:trHeight w:val="737"/>
        </w:trPr>
        <w:tc>
          <w:tcPr>
            <w:tcW w:w="1101" w:type="dxa"/>
            <w:vMerge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近3年资产评估业务年平均收入（万元）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≥3000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≥1000</w:t>
            </w:r>
          </w:p>
        </w:tc>
        <w:tc>
          <w:tcPr>
            <w:tcW w:w="993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≥300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≥100</w:t>
            </w:r>
          </w:p>
        </w:tc>
        <w:tc>
          <w:tcPr>
            <w:tcW w:w="1701" w:type="dxa"/>
            <w:vMerge/>
            <w:vAlign w:val="center"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101" w:type="dxa"/>
            <w:vMerge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93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100</w:t>
            </w:r>
          </w:p>
        </w:tc>
      </w:tr>
    </w:tbl>
    <w:p w:rsidR="00103A1B" w:rsidRPr="007D3D1F" w:rsidRDefault="00103A1B" w:rsidP="007D3D1F">
      <w:pPr>
        <w:outlineLvl w:val="3"/>
        <w:rPr>
          <w:rFonts w:ascii="仿宋_GB2312" w:eastAsia="仿宋_GB2312" w:hAnsi="宋体" w:cs="Times New Roman"/>
          <w:sz w:val="28"/>
          <w:szCs w:val="28"/>
          <w14:ligatures w14:val="none"/>
        </w:rPr>
      </w:pPr>
    </w:p>
    <w:p w:rsidR="00103A1B" w:rsidRPr="00103A1B" w:rsidRDefault="00103A1B" w:rsidP="007D3D1F">
      <w:pPr>
        <w:outlineLvl w:val="3"/>
        <w:rPr>
          <w:rFonts w:ascii="仿宋_GB2312" w:eastAsia="仿宋_GB2312" w:hAnsi="宋体" w:cs="Times New Roman"/>
          <w:b/>
          <w:sz w:val="32"/>
          <w:szCs w:val="32"/>
          <w14:ligatures w14:val="none"/>
        </w:rPr>
      </w:pPr>
    </w:p>
    <w:p w:rsidR="00103A1B" w:rsidRPr="00103A1B" w:rsidRDefault="00103A1B" w:rsidP="00103A1B">
      <w:pPr>
        <w:jc w:val="right"/>
        <w:rPr>
          <w:rFonts w:ascii="仿宋_GB2312" w:eastAsia="仿宋_GB2312" w:hAnsi="宋体" w:cs="Times New Roman"/>
          <w:noProof/>
          <w:color w:val="000000"/>
          <w:sz w:val="24"/>
          <w:szCs w:val="24"/>
          <w14:ligatures w14:val="none"/>
        </w:rPr>
      </w:pPr>
    </w:p>
    <w:p w:rsidR="00103A1B" w:rsidRPr="00103A1B" w:rsidRDefault="00103A1B" w:rsidP="00103A1B">
      <w:pPr>
        <w:widowControl/>
        <w:jc w:val="left"/>
        <w:rPr>
          <w:rFonts w:ascii="仿宋_GB2312" w:eastAsia="仿宋_GB2312" w:hAnsi="宋体" w:cs="Times New Roman"/>
          <w:b/>
          <w:noProof/>
          <w:color w:val="000000"/>
          <w:sz w:val="28"/>
          <w:szCs w:val="28"/>
          <w14:ligatures w14:val="none"/>
        </w:rPr>
      </w:pPr>
      <w:r w:rsidRPr="00103A1B">
        <w:rPr>
          <w:rFonts w:ascii="仿宋_GB2312" w:eastAsia="仿宋_GB2312" w:hAnsi="宋体" w:cs="Times New Roman"/>
          <w:b/>
          <w:noProof/>
          <w:color w:val="000000"/>
          <w:sz w:val="28"/>
          <w:szCs w:val="28"/>
          <w14:ligatures w14:val="none"/>
        </w:rPr>
        <w:br w:type="page"/>
      </w:r>
    </w:p>
    <w:p w:rsidR="007D3D1F" w:rsidRPr="007D3D1F" w:rsidRDefault="007D3D1F" w:rsidP="007D3D1F">
      <w:pPr>
        <w:outlineLvl w:val="3"/>
        <w:rPr>
          <w:rFonts w:ascii="黑体" w:eastAsia="黑体" w:hAnsi="黑体" w:cs="Times New Roman"/>
          <w:sz w:val="32"/>
          <w:szCs w:val="32"/>
        </w:rPr>
      </w:pPr>
      <w:r w:rsidRPr="007D3D1F">
        <w:rPr>
          <w:rFonts w:ascii="黑体" w:eastAsia="黑体" w:hAnsi="黑体" w:cs="Times New Roman" w:hint="eastAsia"/>
          <w:sz w:val="32"/>
          <w:szCs w:val="32"/>
        </w:rPr>
        <w:lastRenderedPageBreak/>
        <w:t>二、加分项目及其标准</w:t>
      </w:r>
    </w:p>
    <w:tbl>
      <w:tblPr>
        <w:tblpPr w:leftFromText="180" w:rightFromText="180" w:vertAnchor="text" w:tblpXSpec="center" w:tblpY="1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3685"/>
        <w:gridCol w:w="1134"/>
      </w:tblGrid>
      <w:tr w:rsidR="007D3D1F" w:rsidRPr="00103A1B" w:rsidTr="009C5E79">
        <w:trPr>
          <w:cantSplit/>
          <w:trHeight w:val="730"/>
          <w:tblHeader/>
        </w:trPr>
        <w:tc>
          <w:tcPr>
            <w:tcW w:w="1242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考评项目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考评内容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加分标准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得分</w:t>
            </w:r>
          </w:p>
        </w:tc>
      </w:tr>
      <w:tr w:rsidR="007D3D1F" w:rsidRPr="00103A1B" w:rsidTr="009C5E79">
        <w:trPr>
          <w:cantSplit/>
          <w:trHeight w:val="730"/>
          <w:tblHeader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党建工作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（最高40分）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 xml:space="preserve">党的工作全覆盖，有基层党组织或党建指导员 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符合要求加2分。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0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党组织按要求组织开展活动，党员按要求参加活动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符合要求加2分。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116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党组织“六有”标准化建设</w:t>
            </w:r>
          </w:p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（六有：有场所、有设施、有标志、有党旗、有书报、有制度）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符合要求加2分。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625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各级人大代表、政协委员</w:t>
            </w:r>
          </w:p>
        </w:tc>
        <w:tc>
          <w:tcPr>
            <w:tcW w:w="3685" w:type="dxa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国家级一人次加5分，省级一人次加3分，地市级一人次2分，县级一人次1分。一人同时担任不同级别代表委员的，按最高级计算。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近三年获得省部级以上表彰奖励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一人次加3分。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中评协、地方协会行业党委委员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中评协行业党委委员一人次加5分、地方协会行业党委委员一人次加3分。同时担任不同级别党委委员的，按最高级计算。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7D3D1F">
        <w:trPr>
          <w:cantSplit/>
          <w:trHeight w:val="1015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近三年获得中评协、地方协会行业党委表彰奖励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获得中评协行业党委表彰奖励一人次加5分，地方协会行业党委表彰奖励一人次加3分。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参加中央组织部、中央统战部党建统战培训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一人次加2分。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7D3D1F">
        <w:trPr>
          <w:cantSplit/>
          <w:trHeight w:val="109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参加中评协、地方协会行业党委党建统战培训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参加中评协行业党委党建统战培训一人次加2分、地方协会行业党委党建统战培训一人次加1分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7D3D1F">
        <w:trPr>
          <w:cantSplit/>
          <w:trHeight w:val="1113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中评协、地方协会行业党委创新实践基地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中评协基地加5分，地方协会基地加3分。同时是中评协和地方协会基地的，不重复计算。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7D3D1F">
        <w:trPr>
          <w:cantSplit/>
          <w:trHeight w:val="845"/>
          <w:tblHeader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人才队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伍建设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（最高80分）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中评协负责人、理事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负责人1人加5分，其他一人加3分，不重复计算。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7D3D1F">
        <w:trPr>
          <w:cantSplit/>
          <w:trHeight w:val="844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地方协会负责人、理事及监事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负责人1人加3分，其他一人加1分，不重复计算。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554"/>
          <w:tblHeader/>
        </w:trPr>
        <w:tc>
          <w:tcPr>
            <w:tcW w:w="1242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考评项目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考评内容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加分标准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得分</w:t>
            </w: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人才队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伍建设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（最高80分）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中评协、地方协会专门、专业委员会委员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中评协专门、专业委员会委员一人次加2分、地方协会专门、专业委员会委员一人次加1分。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610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被中评协或省部级以上单位聘为专家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一人次加1分。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549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副高级及以上职称人员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一人加1分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中评协、地方协会行业高端人才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中评协一人加3分，地方协会一人加1分，不重复计算。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签署过证券业务评估报告的资产评估师数量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2人1分，最高10分。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493"/>
          <w:tblHeader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资深会员数量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1人2分。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执业经验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（最高30分）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取得资产评估资质或财政备案时间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1年1分。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取得证券评估资质或证券从业备案时间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1年1分。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458"/>
          <w:tblHeader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风险防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范能力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（最高20分）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建立健全质量控制体系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符合要求加3分。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按规定建立职业风险基金或者购买执业责任保险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符合要求加3分。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516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净资产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每100万加1分。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信息化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建设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（最高20分）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配备符合技术标准的执业辅助信息系统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自行开发10分，外购2分。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在行业内分享自行开发的执业辅助信息系统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一个单位会员用户1分，最多10分。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631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行业内分享资产评估数据库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一个单位会员用户1分，最多10分。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414"/>
          <w:tblHeader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配备业务流程管理系统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5分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693"/>
          <w:tblHeader/>
        </w:trPr>
        <w:tc>
          <w:tcPr>
            <w:tcW w:w="1242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社会责任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（最高10分）</w:t>
            </w:r>
          </w:p>
        </w:tc>
        <w:tc>
          <w:tcPr>
            <w:tcW w:w="3261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捐款捐物</w:t>
            </w:r>
          </w:p>
        </w:tc>
        <w:tc>
          <w:tcPr>
            <w:tcW w:w="3685" w:type="dxa"/>
            <w:vAlign w:val="center"/>
          </w:tcPr>
          <w:p w:rsidR="007D3D1F" w:rsidRPr="007D3D1F" w:rsidRDefault="007D3D1F" w:rsidP="009C5E79">
            <w:pPr>
              <w:snapToGrid w:val="0"/>
              <w:jc w:val="left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过去3年有相关证明的每次加3分。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593"/>
          <w:tblHeader/>
        </w:trPr>
        <w:tc>
          <w:tcPr>
            <w:tcW w:w="8188" w:type="dxa"/>
            <w:gridSpan w:val="3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加分项最高分合计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200</w:t>
            </w:r>
          </w:p>
        </w:tc>
      </w:tr>
    </w:tbl>
    <w:p w:rsidR="007D3D1F" w:rsidRPr="007D3D1F" w:rsidRDefault="007D3D1F" w:rsidP="007D3D1F">
      <w:pPr>
        <w:rPr>
          <w:rFonts w:ascii="仿宋_GB2312" w:eastAsia="仿宋_GB2312" w:hAnsi="宋体" w:cs="Times New Roman" w:hint="eastAsia"/>
          <w:noProof/>
          <w:color w:val="000000"/>
          <w:sz w:val="24"/>
          <w:szCs w:val="24"/>
        </w:rPr>
      </w:pPr>
      <w:r w:rsidRPr="007D3D1F">
        <w:rPr>
          <w:rFonts w:ascii="仿宋_GB2312" w:eastAsia="仿宋_GB2312" w:hAnsi="宋体" w:cs="Times New Roman" w:hint="eastAsia"/>
          <w:noProof/>
          <w:color w:val="000000"/>
          <w:sz w:val="24"/>
          <w:szCs w:val="24"/>
        </w:rPr>
        <w:t>注：以上涉及数量的指标，除非特指时段数据，一概以上年末时点数为准。</w:t>
      </w:r>
    </w:p>
    <w:p w:rsidR="007D3D1F" w:rsidRDefault="007D3D1F" w:rsidP="007D3D1F">
      <w:pPr>
        <w:widowControl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7D3D1F" w:rsidRDefault="007D3D1F" w:rsidP="007D3D1F">
      <w:pPr>
        <w:widowControl/>
        <w:jc w:val="left"/>
        <w:rPr>
          <w:rFonts w:ascii="黑体" w:eastAsia="黑体" w:hAnsi="黑体" w:cs="Times New Roman" w:hint="eastAsia"/>
          <w:sz w:val="32"/>
          <w:szCs w:val="32"/>
        </w:rPr>
      </w:pPr>
    </w:p>
    <w:p w:rsidR="007D3D1F" w:rsidRPr="007D3D1F" w:rsidRDefault="007D3D1F" w:rsidP="007D3D1F">
      <w:pPr>
        <w:widowControl/>
        <w:jc w:val="left"/>
        <w:rPr>
          <w:rFonts w:ascii="黑体" w:eastAsia="黑体" w:hAnsi="黑体" w:cs="Times New Roman"/>
          <w:noProof/>
          <w:color w:val="000000"/>
          <w:sz w:val="32"/>
          <w:szCs w:val="32"/>
        </w:rPr>
      </w:pPr>
      <w:r w:rsidRPr="007D3D1F">
        <w:rPr>
          <w:rFonts w:ascii="黑体" w:eastAsia="黑体" w:hAnsi="黑体" w:cs="Times New Roman" w:hint="eastAsia"/>
          <w:sz w:val="32"/>
          <w:szCs w:val="32"/>
        </w:rPr>
        <w:t>三、减分项目及其标准</w:t>
      </w:r>
    </w:p>
    <w:tbl>
      <w:tblPr>
        <w:tblpPr w:leftFromText="180" w:rightFromText="180" w:vertAnchor="text" w:tblpXSpec="center" w:tblpY="14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94"/>
        <w:gridCol w:w="3686"/>
        <w:gridCol w:w="1134"/>
      </w:tblGrid>
      <w:tr w:rsidR="007D3D1F" w:rsidRPr="00103A1B" w:rsidTr="009C5E79">
        <w:trPr>
          <w:cantSplit/>
          <w:trHeight w:val="737"/>
        </w:trPr>
        <w:tc>
          <w:tcPr>
            <w:tcW w:w="1242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考评项目</w:t>
            </w: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考评内容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减分标准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减分</w:t>
            </w: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单位会员信用情况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（最高120分）</w:t>
            </w: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近三年因执业行为受刑事处罚的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一次减50分。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近三年因执业行为被司法或仲裁机关判定民事责任的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一次减5分。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近三年因执业行为受行政处罚的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警告一次减30分，罚款一次减30分，责令停业一次减40分。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近三年因执业行为受自律惩戒的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警告一次减2分；严重警告一次减5分；通报批评一次减15分；公开谴责一次减25分。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近三年因执业行为受关注函或警示函等监管措施的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一次减1分。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 w:val="restart"/>
            <w:vAlign w:val="center"/>
          </w:tcPr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个人会员信用情况</w:t>
            </w:r>
          </w:p>
          <w:p w:rsidR="007D3D1F" w:rsidRPr="007D3D1F" w:rsidRDefault="007D3D1F" w:rsidP="009C5E79">
            <w:pPr>
              <w:snapToGrid w:val="0"/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（最高80分）</w:t>
            </w: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近三年因执业行为受刑事处罚的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一人次减30分。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近三年因执业行为受行政处罚的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警告一人次减20分，罚款一人次减20分，责令停止从业一人次减30分。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近三年因执业行为受自律惩戒的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警告一次减2分；严重警告一次减5分；通报批评一次减10分；公开谴责一次减15分；取消会员资格或除名一人次减20分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1242" w:type="dxa"/>
            <w:vMerge/>
          </w:tcPr>
          <w:p w:rsidR="007D3D1F" w:rsidRPr="007D3D1F" w:rsidRDefault="007D3D1F" w:rsidP="009C5E79">
            <w:pPr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294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近三年因执业行为受关注函或警示函等监管措施的</w:t>
            </w:r>
          </w:p>
        </w:tc>
        <w:tc>
          <w:tcPr>
            <w:tcW w:w="3686" w:type="dxa"/>
            <w:vAlign w:val="center"/>
          </w:tcPr>
          <w:p w:rsidR="007D3D1F" w:rsidRPr="007D3D1F" w:rsidRDefault="007D3D1F" w:rsidP="009C5E79">
            <w:pPr>
              <w:snapToGrid w:val="0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一人次减1分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</w:p>
        </w:tc>
      </w:tr>
      <w:tr w:rsidR="007D3D1F" w:rsidRPr="00103A1B" w:rsidTr="009C5E79">
        <w:trPr>
          <w:cantSplit/>
          <w:trHeight w:val="737"/>
        </w:trPr>
        <w:tc>
          <w:tcPr>
            <w:tcW w:w="8222" w:type="dxa"/>
            <w:gridSpan w:val="3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减分项最高分合计</w:t>
            </w:r>
          </w:p>
        </w:tc>
        <w:tc>
          <w:tcPr>
            <w:tcW w:w="1134" w:type="dxa"/>
            <w:vAlign w:val="center"/>
          </w:tcPr>
          <w:p w:rsidR="007D3D1F" w:rsidRPr="007D3D1F" w:rsidRDefault="007D3D1F" w:rsidP="009C5E79">
            <w:pPr>
              <w:jc w:val="center"/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</w:pPr>
            <w:r w:rsidRPr="007D3D1F">
              <w:rPr>
                <w:rFonts w:ascii="仿宋_GB2312" w:eastAsia="仿宋_GB2312" w:hAnsi="宋体" w:cs="Times New Roman" w:hint="eastAsia"/>
                <w:noProof/>
                <w:color w:val="000000"/>
                <w:sz w:val="24"/>
                <w:szCs w:val="24"/>
              </w:rPr>
              <w:t>200</w:t>
            </w:r>
          </w:p>
        </w:tc>
      </w:tr>
    </w:tbl>
    <w:p w:rsidR="007D3D1F" w:rsidRDefault="007D3D1F" w:rsidP="00103A1B">
      <w:pPr>
        <w:outlineLvl w:val="3"/>
        <w:rPr>
          <w:rFonts w:ascii="黑体" w:eastAsia="黑体" w:hAnsi="黑体" w:cs="Times New Roman" w:hint="eastAsia"/>
          <w:sz w:val="32"/>
          <w:szCs w:val="32"/>
          <w14:ligatures w14:val="none"/>
        </w:rPr>
      </w:pPr>
    </w:p>
    <w:p w:rsidR="007D3D1F" w:rsidRDefault="007D3D1F" w:rsidP="00103A1B">
      <w:pPr>
        <w:outlineLvl w:val="3"/>
        <w:rPr>
          <w:rFonts w:ascii="黑体" w:eastAsia="黑体" w:hAnsi="黑体" w:cs="Times New Roman" w:hint="eastAsia"/>
          <w:sz w:val="32"/>
          <w:szCs w:val="32"/>
          <w14:ligatures w14:val="none"/>
        </w:rPr>
      </w:pPr>
    </w:p>
    <w:p w:rsidR="00103A1B" w:rsidRPr="00103A1B" w:rsidRDefault="00103A1B" w:rsidP="00103A1B">
      <w:pPr>
        <w:rPr>
          <w:rFonts w:ascii="仿宋_GB2312" w:eastAsia="仿宋_GB2312" w:hAnsi="宋体" w:cs="Times New Roman"/>
          <w:noProof/>
          <w:color w:val="000000"/>
          <w:sz w:val="24"/>
          <w:szCs w:val="24"/>
          <w14:ligatures w14:val="none"/>
        </w:rPr>
      </w:pPr>
    </w:p>
    <w:p w:rsidR="00103A1B" w:rsidRPr="00103A1B" w:rsidRDefault="00103A1B" w:rsidP="00103A1B">
      <w:pPr>
        <w:rPr>
          <w:rFonts w:ascii="仿宋_GB2312" w:eastAsia="仿宋_GB2312" w:hAnsi="宋体" w:cs="Times New Roman"/>
          <w:noProof/>
          <w:color w:val="000000"/>
          <w:sz w:val="24"/>
          <w:szCs w:val="24"/>
          <w14:ligatures w14:val="none"/>
        </w:rPr>
      </w:pPr>
    </w:p>
    <w:p w:rsidR="00BE6C7E" w:rsidRPr="007D3D1F" w:rsidRDefault="00BE6C7E" w:rsidP="007D3D1F">
      <w:pPr>
        <w:widowControl/>
        <w:jc w:val="left"/>
        <w:rPr>
          <w:rFonts w:ascii="仿宋_GB2312" w:eastAsia="仿宋_GB2312" w:hAnsi="宋体" w:cs="Times New Roman"/>
          <w:b/>
          <w:noProof/>
          <w:color w:val="000000"/>
          <w:sz w:val="28"/>
          <w:szCs w:val="28"/>
          <w14:ligatures w14:val="none"/>
        </w:rPr>
      </w:pPr>
    </w:p>
    <w:sectPr w:rsidR="00BE6C7E" w:rsidRPr="007D3D1F" w:rsidSect="001B173D">
      <w:footerReference w:type="default" r:id="rId8"/>
      <w:pgSz w:w="11906" w:h="16838"/>
      <w:pgMar w:top="1440" w:right="1800" w:bottom="1440" w:left="1800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D45" w:rsidRDefault="00520D45" w:rsidP="00F06843">
      <w:r>
        <w:separator/>
      </w:r>
    </w:p>
  </w:endnote>
  <w:endnote w:type="continuationSeparator" w:id="0">
    <w:p w:rsidR="00520D45" w:rsidRDefault="00520D45" w:rsidP="00F0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578303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520D45" w:rsidRPr="001B173D" w:rsidRDefault="00520D45" w:rsidP="001B173D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996118">
          <w:rPr>
            <w:rFonts w:ascii="宋体" w:eastAsia="宋体" w:hAnsi="宋体"/>
            <w:sz w:val="28"/>
            <w:szCs w:val="28"/>
          </w:rPr>
          <w:fldChar w:fldCharType="begin"/>
        </w:r>
        <w:r w:rsidRPr="0099611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996118">
          <w:rPr>
            <w:rFonts w:ascii="宋体" w:eastAsia="宋体" w:hAnsi="宋体"/>
            <w:sz w:val="28"/>
            <w:szCs w:val="28"/>
          </w:rPr>
          <w:fldChar w:fldCharType="separate"/>
        </w:r>
        <w:r w:rsidR="009F454A" w:rsidRPr="009F454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F454A"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99611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D45" w:rsidRDefault="00520D45" w:rsidP="00F06843">
      <w:r>
        <w:separator/>
      </w:r>
    </w:p>
  </w:footnote>
  <w:footnote w:type="continuationSeparator" w:id="0">
    <w:p w:rsidR="00520D45" w:rsidRDefault="00520D45" w:rsidP="00F0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7E"/>
    <w:rsid w:val="00103A1B"/>
    <w:rsid w:val="00152751"/>
    <w:rsid w:val="00181B95"/>
    <w:rsid w:val="00192595"/>
    <w:rsid w:val="001B173D"/>
    <w:rsid w:val="001C5116"/>
    <w:rsid w:val="00293F3E"/>
    <w:rsid w:val="002C0903"/>
    <w:rsid w:val="002F09CE"/>
    <w:rsid w:val="0034208D"/>
    <w:rsid w:val="003D0FA3"/>
    <w:rsid w:val="0042104D"/>
    <w:rsid w:val="00443485"/>
    <w:rsid w:val="0049774D"/>
    <w:rsid w:val="004D0D24"/>
    <w:rsid w:val="004D5FA3"/>
    <w:rsid w:val="004E08C0"/>
    <w:rsid w:val="004E3CF3"/>
    <w:rsid w:val="00520D45"/>
    <w:rsid w:val="006500F1"/>
    <w:rsid w:val="006540B7"/>
    <w:rsid w:val="00696570"/>
    <w:rsid w:val="00764906"/>
    <w:rsid w:val="007B46B2"/>
    <w:rsid w:val="007D3D1F"/>
    <w:rsid w:val="007E4D2B"/>
    <w:rsid w:val="007E55B9"/>
    <w:rsid w:val="00815CEF"/>
    <w:rsid w:val="0085070E"/>
    <w:rsid w:val="00911E46"/>
    <w:rsid w:val="00916235"/>
    <w:rsid w:val="00964AEB"/>
    <w:rsid w:val="00996118"/>
    <w:rsid w:val="009F454A"/>
    <w:rsid w:val="00A45D86"/>
    <w:rsid w:val="00A96CE7"/>
    <w:rsid w:val="00AC6EE5"/>
    <w:rsid w:val="00AE7486"/>
    <w:rsid w:val="00BE170A"/>
    <w:rsid w:val="00BE6C7E"/>
    <w:rsid w:val="00CA4524"/>
    <w:rsid w:val="00CB5DB9"/>
    <w:rsid w:val="00D173C0"/>
    <w:rsid w:val="00D22E7B"/>
    <w:rsid w:val="00D447EB"/>
    <w:rsid w:val="00E04552"/>
    <w:rsid w:val="00E25E02"/>
    <w:rsid w:val="00E41F7B"/>
    <w:rsid w:val="00F06843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8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F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6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68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6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684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0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0F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5EBB-EC8E-4D85-9263-15261BE5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唐伟</dc:creator>
  <cp:keywords/>
  <dc:description/>
  <cp:lastModifiedBy>姜晓双</cp:lastModifiedBy>
  <cp:revision>36</cp:revision>
  <cp:lastPrinted>2023-09-12T07:31:00Z</cp:lastPrinted>
  <dcterms:created xsi:type="dcterms:W3CDTF">2022-12-02T02:43:00Z</dcterms:created>
  <dcterms:modified xsi:type="dcterms:W3CDTF">2023-09-27T03:06:00Z</dcterms:modified>
</cp:coreProperties>
</file>